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7BA0" w14:textId="2844508C" w:rsidR="00E12C4C" w:rsidRPr="005877C7" w:rsidRDefault="00650D00" w:rsidP="00E12C4C">
      <w:pPr>
        <w:pStyle w:val="SectionVIHeader"/>
        <w:spacing w:before="0" w:after="0"/>
        <w:rPr>
          <w:rFonts w:asciiTheme="majorHAnsi" w:hAnsiTheme="majorHAnsi" w:cstheme="majorHAnsi"/>
          <w:bCs/>
          <w:sz w:val="24"/>
          <w:szCs w:val="28"/>
          <w:lang w:val="es-HN" w:bidi="en-US"/>
        </w:rPr>
      </w:pPr>
      <w:r w:rsidRPr="005877C7">
        <w:rPr>
          <w:rFonts w:asciiTheme="majorHAnsi" w:hAnsiTheme="majorHAnsi" w:cstheme="majorHAnsi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792E5ABB" wp14:editId="422665E9">
            <wp:simplePos x="0" y="0"/>
            <wp:positionH relativeFrom="margin">
              <wp:posOffset>-234315</wp:posOffset>
            </wp:positionH>
            <wp:positionV relativeFrom="paragraph">
              <wp:posOffset>-330835</wp:posOffset>
            </wp:positionV>
            <wp:extent cx="1039019" cy="831215"/>
            <wp:effectExtent l="0" t="0" r="8890" b="6985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19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7C7">
        <w:rPr>
          <w:rFonts w:asciiTheme="majorHAnsi" w:hAnsiTheme="majorHAnsi" w:cstheme="majorHAnsi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5C93C558" wp14:editId="76B3D92F">
            <wp:simplePos x="0" y="0"/>
            <wp:positionH relativeFrom="column">
              <wp:posOffset>5005731</wp:posOffset>
            </wp:positionH>
            <wp:positionV relativeFrom="paragraph">
              <wp:posOffset>-378460</wp:posOffset>
            </wp:positionV>
            <wp:extent cx="1839258" cy="610764"/>
            <wp:effectExtent l="0" t="0" r="0" b="0"/>
            <wp:wrapNone/>
            <wp:docPr id="4" name="Picture 4" descr="INVEST-H_OFICIAL_HORIZ_AL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-H_OFICIAL_HORIZ_ALT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58" cy="6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F2" w:rsidRPr="005877C7">
        <w:rPr>
          <w:rFonts w:asciiTheme="majorHAnsi" w:hAnsiTheme="majorHAnsi" w:cstheme="majorHAnsi"/>
          <w:bCs/>
          <w:sz w:val="24"/>
          <w:szCs w:val="28"/>
          <w:lang w:val="es-HN" w:bidi="en-US"/>
        </w:rPr>
        <w:t>L</w:t>
      </w:r>
      <w:r w:rsidR="00E12C4C" w:rsidRPr="005877C7">
        <w:rPr>
          <w:rFonts w:asciiTheme="majorHAnsi" w:hAnsiTheme="majorHAnsi" w:cstheme="majorHAnsi"/>
          <w:bCs/>
          <w:sz w:val="24"/>
          <w:szCs w:val="28"/>
          <w:lang w:val="es-HN" w:bidi="en-US"/>
        </w:rPr>
        <w:t xml:space="preserve">lamado a Licitación </w:t>
      </w:r>
    </w:p>
    <w:p w14:paraId="5A4D9899" w14:textId="74A505E7" w:rsidR="004D41FF" w:rsidRPr="005877C7" w:rsidRDefault="004D41FF" w:rsidP="004D41FF">
      <w:pPr>
        <w:jc w:val="center"/>
        <w:rPr>
          <w:rFonts w:asciiTheme="majorHAnsi" w:eastAsia="Calibri" w:hAnsiTheme="majorHAnsi" w:cstheme="majorHAnsi"/>
          <w:b/>
          <w:szCs w:val="28"/>
          <w:lang w:val="es-ES"/>
        </w:rPr>
      </w:pPr>
      <w:r w:rsidRPr="005877C7">
        <w:rPr>
          <w:rFonts w:asciiTheme="majorHAnsi" w:hAnsiTheme="majorHAnsi" w:cstheme="majorHAnsi"/>
          <w:b/>
          <w:bCs/>
          <w:i/>
          <w:iCs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Proyecto de Seguridad Alimentaria en el Corredor Seco, Clúster 1</w:t>
      </w:r>
    </w:p>
    <w:p w14:paraId="6DE40A48" w14:textId="6138C918" w:rsidR="004D41FF" w:rsidRPr="005877C7" w:rsidRDefault="004D41FF" w:rsidP="004D41FF">
      <w:pPr>
        <w:jc w:val="center"/>
        <w:rPr>
          <w:rFonts w:asciiTheme="majorHAnsi" w:eastAsia="Calibri" w:hAnsiTheme="majorHAnsi" w:cstheme="majorHAnsi"/>
          <w:b/>
          <w:sz w:val="12"/>
          <w:szCs w:val="28"/>
          <w:lang w:val="es-ES"/>
        </w:rPr>
      </w:pPr>
    </w:p>
    <w:p w14:paraId="0D8187FD" w14:textId="75681221" w:rsidR="00E12C4C" w:rsidRPr="005877C7" w:rsidRDefault="00E12C4C" w:rsidP="00E12C4C">
      <w:pPr>
        <w:jc w:val="center"/>
        <w:rPr>
          <w:rFonts w:asciiTheme="majorHAnsi" w:eastAsia="Calibri" w:hAnsiTheme="majorHAnsi" w:cstheme="majorHAnsi"/>
          <w:b/>
          <w:sz w:val="22"/>
          <w:szCs w:val="28"/>
          <w:lang w:val="es-ES"/>
        </w:rPr>
      </w:pPr>
      <w:r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 xml:space="preserve">LICITACION PÚBLICA NACIONAL </w:t>
      </w:r>
    </w:p>
    <w:p w14:paraId="3D4AA6BD" w14:textId="77D9FE95" w:rsidR="00E12C4C" w:rsidRPr="005877C7" w:rsidRDefault="00E12C4C" w:rsidP="00E12C4C">
      <w:pPr>
        <w:jc w:val="center"/>
        <w:rPr>
          <w:rFonts w:asciiTheme="majorHAnsi" w:eastAsia="Calibri" w:hAnsiTheme="majorHAnsi" w:cstheme="majorHAnsi"/>
          <w:b/>
          <w:sz w:val="22"/>
          <w:szCs w:val="28"/>
          <w:lang w:val="es-ES"/>
        </w:rPr>
      </w:pPr>
      <w:r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>ACS-PROSASUR</w:t>
      </w:r>
      <w:r w:rsidR="00D44423"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>1</w:t>
      </w:r>
      <w:r w:rsidR="003020D6"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>/LPN/</w:t>
      </w:r>
      <w:r w:rsidR="009E1DA8"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>0</w:t>
      </w:r>
      <w:r w:rsidR="00D73048">
        <w:rPr>
          <w:rFonts w:asciiTheme="majorHAnsi" w:eastAsia="Calibri" w:hAnsiTheme="majorHAnsi" w:cstheme="majorHAnsi"/>
          <w:b/>
          <w:sz w:val="22"/>
          <w:szCs w:val="28"/>
          <w:lang w:val="es-ES"/>
        </w:rPr>
        <w:t>34</w:t>
      </w:r>
      <w:r w:rsidR="003020D6"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>-</w:t>
      </w:r>
      <w:r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>201</w:t>
      </w:r>
      <w:r w:rsidR="009A7BF2" w:rsidRPr="005877C7">
        <w:rPr>
          <w:rFonts w:asciiTheme="majorHAnsi" w:eastAsia="Calibri" w:hAnsiTheme="majorHAnsi" w:cstheme="majorHAnsi"/>
          <w:b/>
          <w:sz w:val="22"/>
          <w:szCs w:val="28"/>
          <w:lang w:val="es-ES"/>
        </w:rPr>
        <w:t>9</w:t>
      </w:r>
    </w:p>
    <w:p w14:paraId="2DA033B6" w14:textId="7D92BA77" w:rsidR="00D73048" w:rsidRPr="0053302D" w:rsidRDefault="0053302D" w:rsidP="0053302D">
      <w:pPr>
        <w:tabs>
          <w:tab w:val="left" w:pos="0"/>
          <w:tab w:val="left" w:pos="8647"/>
        </w:tabs>
        <w:suppressAutoHyphens/>
        <w:ind w:left="360"/>
        <w:jc w:val="center"/>
        <w:rPr>
          <w:rFonts w:asciiTheme="minorHAnsi" w:hAnsiTheme="minorHAnsi" w:cstheme="minorHAnsi"/>
          <w:b/>
          <w:szCs w:val="36"/>
        </w:rPr>
      </w:pPr>
      <w:r w:rsidRPr="0053302D">
        <w:rPr>
          <w:rFonts w:asciiTheme="minorHAnsi" w:hAnsiTheme="minorHAnsi" w:cstheme="minorHAnsi"/>
          <w:b/>
          <w:szCs w:val="36"/>
        </w:rPr>
        <w:t>Adquisiciones de materiales de sistemas de riego para implementación de Planes de Negocios y Planes de Seguridad Alimentaria y Nutricional del Proyecto ACS-PROSASUR, Clúster 1</w:t>
      </w:r>
    </w:p>
    <w:p w14:paraId="01085887" w14:textId="77777777" w:rsidR="0053302D" w:rsidRPr="005877C7" w:rsidRDefault="0053302D" w:rsidP="00E07B59">
      <w:pPr>
        <w:tabs>
          <w:tab w:val="left" w:pos="0"/>
          <w:tab w:val="left" w:pos="8647"/>
        </w:tabs>
        <w:suppressAutoHyphens/>
        <w:ind w:left="360"/>
        <w:jc w:val="both"/>
        <w:rPr>
          <w:rFonts w:asciiTheme="majorHAnsi" w:eastAsia="Calibri" w:hAnsiTheme="majorHAnsi" w:cstheme="majorHAnsi"/>
          <w:b/>
          <w:bCs/>
          <w:i/>
          <w:sz w:val="22"/>
          <w:szCs w:val="28"/>
          <w:lang w:val="es-CO"/>
        </w:rPr>
      </w:pPr>
    </w:p>
    <w:p w14:paraId="445FE81B" w14:textId="28FF28B7" w:rsidR="00AB1108" w:rsidRPr="005877C7" w:rsidRDefault="00E12C4C" w:rsidP="0053302D">
      <w:pPr>
        <w:pStyle w:val="ListParagraph"/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b/>
          <w:sz w:val="20"/>
          <w:szCs w:val="22"/>
          <w:lang w:val="es-MX" w:bidi="en-US"/>
        </w:rPr>
      </w:pP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El Gobierno de la República de Honduras</w:t>
      </w:r>
      <w:r w:rsidR="00653CB2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a través de Inversión Estratégica de Honduras (INVEST-H),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ha recibido </w:t>
      </w:r>
      <w:r w:rsidR="00A2271C" w:rsidRPr="005877C7">
        <w:rPr>
          <w:rFonts w:asciiTheme="majorHAnsi" w:hAnsiTheme="majorHAnsi" w:cstheme="majorHAnsi"/>
          <w:sz w:val="20"/>
          <w:szCs w:val="22"/>
          <w:lang w:val="es-MX" w:bidi="en-US"/>
        </w:rPr>
        <w:t>una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Donación del Global Agri</w:t>
      </w:r>
      <w:r w:rsidR="00653CB2" w:rsidRPr="005877C7">
        <w:rPr>
          <w:rFonts w:asciiTheme="majorHAnsi" w:hAnsiTheme="majorHAnsi" w:cstheme="majorHAnsi"/>
          <w:sz w:val="20"/>
          <w:szCs w:val="22"/>
          <w:lang w:val="es-MX" w:bidi="en-US"/>
        </w:rPr>
        <w:t>c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ulture &amp; Food Security Program (GAFSP</w:t>
      </w:r>
      <w:r w:rsidR="00157DA4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) No. TF-017904,</w:t>
      </w:r>
      <w:r w:rsidR="00157DA4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su</w:t>
      </w:r>
      <w:r w:rsidR="00CE4133" w:rsidRPr="005877C7">
        <w:rPr>
          <w:rFonts w:asciiTheme="majorHAnsi" w:hAnsiTheme="majorHAnsi" w:cstheme="majorHAnsi"/>
          <w:sz w:val="20"/>
          <w:szCs w:val="22"/>
          <w:lang w:val="es-MX" w:bidi="en-US"/>
        </w:rPr>
        <w:t>pervisados por el Banco Mundial</w:t>
      </w:r>
      <w:r w:rsidR="00271BAA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, 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para financiar el costo del </w:t>
      </w:r>
      <w:r w:rsidR="009F487B" w:rsidRPr="005877C7">
        <w:rPr>
          <w:rFonts w:asciiTheme="majorHAnsi" w:hAnsiTheme="majorHAnsi" w:cstheme="majorHAnsi"/>
          <w:sz w:val="20"/>
          <w:szCs w:val="22"/>
          <w:lang w:val="es-MX" w:bidi="en-US"/>
        </w:rPr>
        <w:t>Proyecto de Seguridad Alimentaria en el Corredor Seco</w:t>
      </w:r>
      <w:r w:rsidR="00653CB2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(PROSASUR),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implementado por el </w:t>
      </w:r>
      <w:r w:rsidR="009F487B" w:rsidRPr="005877C7">
        <w:rPr>
          <w:rFonts w:asciiTheme="majorHAnsi" w:hAnsiTheme="majorHAnsi" w:cstheme="majorHAnsi"/>
          <w:sz w:val="20"/>
          <w:szCs w:val="22"/>
          <w:lang w:val="es-MX" w:bidi="en-US"/>
        </w:rPr>
        <w:t>Consor</w:t>
      </w:r>
      <w:r w:rsidR="00CA3464" w:rsidRPr="005877C7">
        <w:rPr>
          <w:rFonts w:asciiTheme="majorHAnsi" w:hAnsiTheme="majorHAnsi" w:cstheme="majorHAnsi"/>
          <w:sz w:val="20"/>
          <w:szCs w:val="22"/>
          <w:lang w:val="es-MX" w:bidi="en-US"/>
        </w:rPr>
        <w:t>c</w:t>
      </w:r>
      <w:r w:rsidR="009F487B" w:rsidRPr="005877C7">
        <w:rPr>
          <w:rFonts w:asciiTheme="majorHAnsi" w:hAnsiTheme="majorHAnsi" w:cstheme="majorHAnsi"/>
          <w:sz w:val="20"/>
          <w:szCs w:val="22"/>
          <w:lang w:val="es-MX" w:bidi="en-US"/>
        </w:rPr>
        <w:t>io Care</w:t>
      </w:r>
      <w:r w:rsidR="00CE4133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Internacional</w:t>
      </w:r>
      <w:r w:rsidR="009F487B" w:rsidRPr="005877C7">
        <w:rPr>
          <w:rFonts w:asciiTheme="majorHAnsi" w:hAnsiTheme="majorHAnsi" w:cstheme="majorHAnsi"/>
          <w:sz w:val="20"/>
          <w:szCs w:val="22"/>
          <w:lang w:val="es-MX" w:bidi="en-US"/>
        </w:rPr>
        <w:t>-Visión Mundial</w:t>
      </w:r>
      <w:r w:rsidR="00653CB2" w:rsidRPr="005877C7">
        <w:rPr>
          <w:rFonts w:asciiTheme="majorHAnsi" w:hAnsiTheme="majorHAnsi" w:cstheme="majorHAnsi"/>
          <w:sz w:val="20"/>
          <w:szCs w:val="22"/>
          <w:lang w:val="es-MX" w:bidi="en-US"/>
        </w:rPr>
        <w:t>/Clúster 1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y se propone utilizar parte de los fondos, para efectuar los pagos bajo el Contrato de</w:t>
      </w:r>
      <w:r w:rsidR="00F923FD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 </w:t>
      </w:r>
      <w:r w:rsidR="00F923FD" w:rsidRPr="005877C7">
        <w:rPr>
          <w:rFonts w:asciiTheme="majorHAnsi" w:hAnsiTheme="majorHAnsi" w:cstheme="majorHAnsi"/>
          <w:b/>
          <w:bCs/>
          <w:i/>
          <w:sz w:val="20"/>
          <w:szCs w:val="22"/>
          <w:lang w:val="es-CO"/>
        </w:rPr>
        <w:t>“</w:t>
      </w:r>
      <w:r w:rsidR="0053302D" w:rsidRPr="0053302D">
        <w:rPr>
          <w:rFonts w:asciiTheme="majorHAnsi" w:hAnsiTheme="majorHAnsi" w:cstheme="majorHAnsi"/>
          <w:b/>
          <w:bCs/>
          <w:i/>
          <w:sz w:val="20"/>
          <w:szCs w:val="22"/>
          <w:lang w:val="es-CO"/>
        </w:rPr>
        <w:t>Adquisiciones de materiales de sistemas de riego para implementación de Planes de Negocios y Planes de Seguridad Alimentaria y Nutricional del Proyecto ACS-PROSASUR, Clúster 1</w:t>
      </w:r>
      <w:r w:rsidR="00F923FD" w:rsidRPr="00D73048">
        <w:rPr>
          <w:rFonts w:asciiTheme="majorHAnsi" w:hAnsiTheme="majorHAnsi" w:cstheme="majorHAnsi"/>
          <w:b/>
          <w:bCs/>
          <w:i/>
          <w:sz w:val="20"/>
          <w:szCs w:val="22"/>
          <w:lang w:val="es-CO"/>
        </w:rPr>
        <w:t>”</w:t>
      </w:r>
      <w:r w:rsidR="00F923FD" w:rsidRPr="005877C7">
        <w:rPr>
          <w:rFonts w:asciiTheme="majorHAnsi" w:hAnsiTheme="majorHAnsi" w:cstheme="majorHAnsi"/>
          <w:b/>
          <w:bCs/>
          <w:i/>
          <w:sz w:val="20"/>
          <w:szCs w:val="22"/>
          <w:lang w:val="es-CO"/>
        </w:rPr>
        <w:t>.</w:t>
      </w:r>
      <w:r w:rsidR="00E121EC" w:rsidRPr="005877C7">
        <w:rPr>
          <w:rFonts w:asciiTheme="majorHAnsi" w:hAnsiTheme="majorHAnsi" w:cstheme="majorHAnsi"/>
          <w:snapToGrid w:val="0"/>
          <w:color w:val="000000"/>
          <w:w w:val="0"/>
          <w:sz w:val="20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9882DA3" w14:textId="3FE6D0EE" w:rsidR="00240EFE" w:rsidRPr="00D73048" w:rsidRDefault="00F923FD" w:rsidP="00D73048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i/>
          <w:sz w:val="20"/>
          <w:szCs w:val="22"/>
          <w:lang w:val="es-MX" w:bidi="en-US"/>
        </w:rPr>
      </w:pPr>
      <w:r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>Care Internacional en Honduras</w:t>
      </w:r>
      <w:r w:rsidR="00653CB2"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 xml:space="preserve"> en representación del Consorcio</w:t>
      </w:r>
      <w:r w:rsidR="00E12C4C"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>,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invita</w:t>
      </w:r>
      <w:r w:rsidR="00E12C4C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públicamente a las </w:t>
      </w:r>
      <w:r w:rsidR="00653CB2" w:rsidRPr="005877C7">
        <w:rPr>
          <w:rFonts w:asciiTheme="majorHAnsi" w:hAnsiTheme="majorHAnsi" w:cstheme="majorHAnsi"/>
          <w:sz w:val="20"/>
          <w:szCs w:val="22"/>
          <w:lang w:val="es-MX" w:bidi="en-US"/>
        </w:rPr>
        <w:t>e</w:t>
      </w:r>
      <w:r w:rsidR="00E12C4C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mpresas legalmente constituidas, a presentar </w:t>
      </w:r>
      <w:r w:rsidR="00653CB2" w:rsidRPr="005877C7">
        <w:rPr>
          <w:rFonts w:asciiTheme="majorHAnsi" w:hAnsiTheme="majorHAnsi" w:cstheme="majorHAnsi"/>
          <w:sz w:val="20"/>
          <w:szCs w:val="22"/>
          <w:lang w:val="es-MX" w:bidi="en-US"/>
        </w:rPr>
        <w:t>o</w:t>
      </w:r>
      <w:r w:rsidR="00E12C4C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fertas selladas para </w:t>
      </w:r>
      <w:r w:rsidR="00653CB2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el proceso licitatorio No. </w:t>
      </w:r>
      <w:r w:rsidR="003020D6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ACS-PROSASUR1/LPN/</w:t>
      </w:r>
      <w:r w:rsidR="00CC228D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0</w:t>
      </w:r>
      <w:r w:rsidR="00D73048">
        <w:rPr>
          <w:rFonts w:asciiTheme="majorHAnsi" w:hAnsiTheme="majorHAnsi" w:cstheme="majorHAnsi"/>
          <w:b/>
          <w:sz w:val="20"/>
          <w:szCs w:val="22"/>
          <w:lang w:val="es-MX" w:bidi="en-US"/>
        </w:rPr>
        <w:t>34</w:t>
      </w:r>
      <w:r w:rsidR="003020D6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-</w:t>
      </w:r>
      <w:r w:rsidR="009A7BF2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2019</w:t>
      </w:r>
      <w:r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.</w:t>
      </w:r>
      <w:r w:rsidR="00CE4133"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 xml:space="preserve"> </w:t>
      </w:r>
      <w:r w:rsidR="00D73048" w:rsidRPr="00D73048">
        <w:rPr>
          <w:rFonts w:asciiTheme="majorHAnsi" w:hAnsiTheme="majorHAnsi" w:cstheme="majorHAnsi"/>
          <w:sz w:val="20"/>
          <w:szCs w:val="22"/>
          <w:lang w:val="es-MX" w:bidi="en-US"/>
        </w:rPr>
        <w:t>La presente licitación comprende la adquisición de 63 ítems,</w:t>
      </w:r>
      <w:r w:rsidR="0053302D">
        <w:rPr>
          <w:rFonts w:asciiTheme="majorHAnsi" w:hAnsiTheme="majorHAnsi" w:cstheme="majorHAnsi"/>
          <w:sz w:val="20"/>
          <w:szCs w:val="22"/>
          <w:lang w:val="es-MX" w:bidi="en-US"/>
        </w:rPr>
        <w:t xml:space="preserve"> como ser: </w:t>
      </w:r>
      <w:r w:rsidR="00D73048" w:rsidRPr="00D73048">
        <w:rPr>
          <w:rFonts w:asciiTheme="majorHAnsi" w:hAnsiTheme="majorHAnsi" w:cstheme="majorHAnsi"/>
          <w:sz w:val="20"/>
          <w:szCs w:val="22"/>
          <w:lang w:val="es-MX" w:bidi="en-US"/>
        </w:rPr>
        <w:t>abrazaderas metálicas y de PVC; adaptadores de inserción y de PVC; Codos de PVC de distintos tamaños, uniones; Cintas de riego gotero; Conector de válvulas; Uniones; Filtros de anilla varios tamaños; Pegamento para PVC, varios tamaños; Reductores, Tapones; Tee´s, Tubería de PVC; Válvulas de bola lisa y de aire cinética, entre otros.</w:t>
      </w:r>
    </w:p>
    <w:p w14:paraId="22F4E4B3" w14:textId="77777777" w:rsidR="00E07B59" w:rsidRPr="005877C7" w:rsidRDefault="00E12C4C" w:rsidP="00E07B59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i/>
          <w:sz w:val="20"/>
          <w:szCs w:val="22"/>
          <w:lang w:val="es-MX" w:bidi="en-US"/>
        </w:rPr>
      </w:pP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La licitación se efectuará conforme a los procedimientos de Licitación Pública Nacional, establecidos en las </w:t>
      </w:r>
      <w:r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 xml:space="preserve">Normas: </w:t>
      </w:r>
      <w:r w:rsidR="00E710D5"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>Adquisiciones de Bienes, Obras y Servicios Distintos a los de Consultorías con Préstamos del Banco Internacional de Reconstrucción y Fomento (BIRF), Créditos de la Asociación Internacional de Fomento (AIF) y Donaciones por Prestatarios del Banco Mundial”, publicada en enero de 2011, revisada en Julio 2014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, y está abierta a todos los licitantes elegibles, según se definen en los Documentos de Licitación</w:t>
      </w:r>
      <w:r w:rsidRPr="005877C7">
        <w:rPr>
          <w:rFonts w:asciiTheme="majorHAnsi" w:hAnsiTheme="majorHAnsi" w:cstheme="majorHAnsi"/>
          <w:sz w:val="20"/>
          <w:szCs w:val="22"/>
          <w:lang w:val="es-ES" w:bidi="en-US"/>
        </w:rPr>
        <w:t xml:space="preserve">.  </w:t>
      </w:r>
    </w:p>
    <w:p w14:paraId="4A62FCC3" w14:textId="44C47FA6" w:rsidR="00D73048" w:rsidRPr="00D73048" w:rsidRDefault="007803B0" w:rsidP="00D73048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sz w:val="20"/>
          <w:szCs w:val="22"/>
          <w:lang w:val="es-MX" w:bidi="en-US"/>
        </w:rPr>
      </w:pP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Los requisitos de </w:t>
      </w:r>
      <w:r w:rsidR="004645EB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pos </w:t>
      </w:r>
      <w:r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calificación incluyen</w:t>
      </w:r>
      <w:r w:rsidR="004645EB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: </w:t>
      </w:r>
      <w:r w:rsidR="00D73048" w:rsidRPr="00D73048">
        <w:rPr>
          <w:rFonts w:asciiTheme="majorHAnsi" w:hAnsiTheme="majorHAnsi" w:cstheme="majorHAnsi"/>
          <w:b/>
          <w:sz w:val="20"/>
          <w:szCs w:val="22"/>
          <w:lang w:val="es-MX" w:bidi="en-US"/>
        </w:rPr>
        <w:t>Capacidad Financiera</w:t>
      </w:r>
      <w:r w:rsidR="00D73048">
        <w:rPr>
          <w:rFonts w:asciiTheme="majorHAnsi" w:hAnsiTheme="majorHAnsi" w:cstheme="majorHAnsi"/>
          <w:sz w:val="20"/>
          <w:szCs w:val="22"/>
          <w:lang w:val="es-MX" w:bidi="en-US"/>
        </w:rPr>
        <w:t xml:space="preserve">: </w:t>
      </w:r>
      <w:r w:rsidR="00D73048" w:rsidRPr="00D73048">
        <w:rPr>
          <w:rFonts w:asciiTheme="majorHAnsi" w:hAnsiTheme="majorHAnsi" w:cstheme="majorHAnsi"/>
          <w:sz w:val="20"/>
          <w:szCs w:val="22"/>
          <w:lang w:val="es-MX" w:bidi="en-US"/>
        </w:rPr>
        <w:t>Carta actualizada (original) donde se indique que la empresa cuenta con disponibilidad (a la fecha) de líneas de crédito bancaria o líneas de crédito comercial que al momento de la presentación de la oferta sea igual o superior al 30% del monto ofertado. En caso de presentar línea de crédito bancaria, esta deberá ser original y con fecha de elaboración no mayor a un (1) mes a la fecha de presentación de la oferta. La moneda de la carta bancaria se convertirá en caso de ser necesario a la tasa de cambio oficial emitida por el Banco Central de Honduras tipo vendedor. Cartas emitidas por Compañías aseguradoras no se considerarán.</w:t>
      </w:r>
      <w:r w:rsidR="00D73048">
        <w:rPr>
          <w:rFonts w:asciiTheme="majorHAnsi" w:hAnsiTheme="majorHAnsi" w:cstheme="majorHAnsi"/>
          <w:sz w:val="20"/>
          <w:szCs w:val="22"/>
          <w:lang w:val="es-MX" w:bidi="en-US"/>
        </w:rPr>
        <w:t xml:space="preserve"> </w:t>
      </w:r>
      <w:r w:rsidR="00D73048" w:rsidRPr="00D73048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Capacidad Técnica: </w:t>
      </w:r>
      <w:r w:rsidR="00D73048" w:rsidRPr="00D73048">
        <w:rPr>
          <w:rFonts w:asciiTheme="majorHAnsi" w:hAnsiTheme="majorHAnsi" w:cstheme="majorHAnsi"/>
          <w:sz w:val="20"/>
          <w:szCs w:val="22"/>
          <w:lang w:val="es-MX" w:bidi="en-US"/>
        </w:rPr>
        <w:t>Fotocopia de un mínimo dos (2) finiquitos o constancias extendidas por clientes, como evidencia de que el oferente ha provisto satisfactoriamente (tiempo y forma) insumos similares a los ofertados, por montos iguales o superiores al treinta por ciento (30%) del monto de la oferta, de dur</w:t>
      </w:r>
      <w:r w:rsidR="00D73048">
        <w:rPr>
          <w:rFonts w:asciiTheme="majorHAnsi" w:hAnsiTheme="majorHAnsi" w:cstheme="majorHAnsi"/>
          <w:sz w:val="20"/>
          <w:szCs w:val="22"/>
          <w:lang w:val="es-MX" w:bidi="en-US"/>
        </w:rPr>
        <w:t>ante los últimos cinco (5) años.</w:t>
      </w:r>
    </w:p>
    <w:p w14:paraId="04159999" w14:textId="799A48FC" w:rsidR="007803B0" w:rsidRPr="005877C7" w:rsidRDefault="00C0493B" w:rsidP="00E07B59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0"/>
          <w:szCs w:val="22"/>
          <w:lang w:val="es-MX" w:bidi="en-US"/>
        </w:rPr>
      </w:pP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Los licitantes elegibles que estén interesados podrán obtener información adicional y en forma gratuita un juego completo de los Documentos de Licitación en español, </w:t>
      </w:r>
      <w:r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mediante presentación de una solicitud por escrito a  través del correo electrónico </w:t>
      </w:r>
      <w:hyperlink r:id="rId10" w:history="1">
        <w:r w:rsidR="00B8788B" w:rsidRPr="005877C7">
          <w:rPr>
            <w:rStyle w:val="Hyperlink"/>
            <w:rFonts w:asciiTheme="majorHAnsi" w:hAnsiTheme="majorHAnsi" w:cstheme="majorHAnsi"/>
            <w:b/>
            <w:sz w:val="20"/>
            <w:szCs w:val="22"/>
            <w:lang w:val="es-MX" w:bidi="en-US"/>
          </w:rPr>
          <w:t>milena.castro@care.org</w:t>
        </w:r>
      </w:hyperlink>
      <w:r w:rsidR="00587085" w:rsidRPr="005877C7">
        <w:rPr>
          <w:rStyle w:val="Hyperlink"/>
          <w:rFonts w:asciiTheme="majorHAnsi" w:hAnsiTheme="majorHAnsi" w:cstheme="majorHAnsi"/>
          <w:color w:val="auto"/>
          <w:sz w:val="20"/>
          <w:szCs w:val="22"/>
          <w:u w:val="none"/>
          <w:lang w:val="es-MX" w:bidi="en-US"/>
        </w:rPr>
        <w:t xml:space="preserve"> </w:t>
      </w:r>
      <w:r w:rsidR="00CA3464" w:rsidRPr="005877C7">
        <w:rPr>
          <w:rStyle w:val="Hyperlink"/>
          <w:rFonts w:asciiTheme="majorHAnsi" w:hAnsiTheme="majorHAnsi" w:cstheme="majorHAnsi"/>
          <w:color w:val="auto"/>
          <w:sz w:val="20"/>
          <w:szCs w:val="22"/>
          <w:u w:val="none"/>
          <w:lang w:val="es-MX" w:bidi="en-US"/>
        </w:rPr>
        <w:t>o en la dirección abajo indicada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. Así mismo, este anuncio estará publicad</w:t>
      </w:r>
      <w:r w:rsidR="007D77CC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o en la página oficial </w:t>
      </w:r>
      <w:hyperlink r:id="rId11" w:history="1">
        <w:r w:rsidR="009E1DA8" w:rsidRPr="005877C7">
          <w:rPr>
            <w:rStyle w:val="Hyperlink"/>
            <w:rFonts w:asciiTheme="majorHAnsi" w:hAnsiTheme="majorHAnsi" w:cstheme="majorHAnsi"/>
            <w:sz w:val="20"/>
            <w:szCs w:val="22"/>
            <w:lang w:val="es-MX" w:bidi="en-US"/>
          </w:rPr>
          <w:t>www.care.org.hn</w:t>
        </w:r>
      </w:hyperlink>
      <w:r w:rsidR="00B8788B" w:rsidRPr="005877C7">
        <w:rPr>
          <w:rStyle w:val="Hyperlink"/>
          <w:rFonts w:asciiTheme="majorHAnsi" w:hAnsiTheme="majorHAnsi" w:cstheme="majorHAnsi"/>
          <w:sz w:val="20"/>
          <w:szCs w:val="22"/>
          <w:lang w:val="es-MX" w:bidi="en-US"/>
        </w:rPr>
        <w:t xml:space="preserve"> (Transparencia)</w:t>
      </w:r>
      <w:r w:rsidR="009E1DA8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. Todas las aclaraciones y adendas que se generen durante el proceso de preparación de ofertas serán publicadas en dicho</w:t>
      </w:r>
      <w:r w:rsidR="00A05BAE" w:rsidRPr="005877C7">
        <w:rPr>
          <w:rFonts w:asciiTheme="majorHAnsi" w:hAnsiTheme="majorHAnsi" w:cstheme="majorHAnsi"/>
          <w:sz w:val="20"/>
          <w:szCs w:val="22"/>
          <w:lang w:val="es-MX" w:bidi="en-US"/>
        </w:rPr>
        <w:t>s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sitio</w:t>
      </w:r>
      <w:r w:rsidR="00A05BAE" w:rsidRPr="005877C7">
        <w:rPr>
          <w:rFonts w:asciiTheme="majorHAnsi" w:hAnsiTheme="majorHAnsi" w:cstheme="majorHAnsi"/>
          <w:sz w:val="20"/>
          <w:szCs w:val="22"/>
          <w:lang w:val="es-MX" w:bidi="en-US"/>
        </w:rPr>
        <w:t>s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Web</w:t>
      </w:r>
      <w:r w:rsidR="00A05BAE" w:rsidRPr="005877C7">
        <w:rPr>
          <w:rFonts w:asciiTheme="majorHAnsi" w:hAnsiTheme="majorHAnsi" w:cstheme="majorHAnsi"/>
          <w:sz w:val="20"/>
          <w:szCs w:val="22"/>
          <w:lang w:val="es-MX" w:bidi="en-US"/>
        </w:rPr>
        <w:t>s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, por lo que las empresas interesadas deberán monitorear las actualizaciones de los datos de la lic</w:t>
      </w:r>
      <w:r w:rsidR="006619E1" w:rsidRPr="005877C7">
        <w:rPr>
          <w:rFonts w:asciiTheme="majorHAnsi" w:hAnsiTheme="majorHAnsi" w:cstheme="majorHAnsi"/>
          <w:sz w:val="20"/>
          <w:szCs w:val="22"/>
          <w:lang w:val="es-MX" w:bidi="en-US"/>
        </w:rPr>
        <w:t>itación en caso que se dieran.</w:t>
      </w:r>
    </w:p>
    <w:p w14:paraId="72ABD927" w14:textId="2F49F45A" w:rsidR="00C42705" w:rsidRPr="0053302D" w:rsidRDefault="00E12C4C" w:rsidP="00C42705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0"/>
          <w:szCs w:val="22"/>
          <w:lang w:val="es-MX" w:bidi="en-US"/>
        </w:rPr>
      </w:pP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El acto de recepción y apertura de las ofertas se efectuará en el Salón de Sesiones de </w:t>
      </w:r>
      <w:r w:rsidR="00E710D5" w:rsidRPr="005877C7">
        <w:rPr>
          <w:rFonts w:asciiTheme="majorHAnsi" w:hAnsiTheme="majorHAnsi" w:cstheme="majorHAnsi"/>
          <w:sz w:val="20"/>
          <w:szCs w:val="22"/>
          <w:lang w:val="es-MX" w:bidi="en-US"/>
        </w:rPr>
        <w:t>Care Internacional en Honduras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, </w:t>
      </w:r>
      <w:r w:rsidR="00E710D5" w:rsidRPr="005877C7">
        <w:rPr>
          <w:rFonts w:asciiTheme="majorHAnsi" w:hAnsiTheme="majorHAnsi" w:cstheme="majorHAnsi"/>
          <w:sz w:val="20"/>
          <w:szCs w:val="22"/>
          <w:lang w:val="es-MX" w:bidi="en-US"/>
        </w:rPr>
        <w:t>6to piso del Mall El Dorado</w:t>
      </w:r>
      <w:r w:rsidR="00DB2580" w:rsidRPr="005877C7">
        <w:rPr>
          <w:rFonts w:asciiTheme="majorHAnsi" w:hAnsiTheme="majorHAnsi" w:cstheme="majorHAnsi"/>
          <w:sz w:val="20"/>
          <w:szCs w:val="22"/>
          <w:lang w:val="es-MX" w:bidi="en-US"/>
        </w:rPr>
        <w:t>, Tegucigalpa, M.DC.</w:t>
      </w:r>
      <w:r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>,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</w:t>
      </w:r>
      <w:r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el día </w:t>
      </w:r>
      <w:r w:rsidR="004555CD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29</w:t>
      </w:r>
      <w:bookmarkStart w:id="0" w:name="_GoBack"/>
      <w:bookmarkEnd w:id="0"/>
      <w:r w:rsidR="008D250D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 </w:t>
      </w:r>
      <w:r w:rsidR="00650D00"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de </w:t>
      </w:r>
      <w:r w:rsidR="000B246F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enero</w:t>
      </w:r>
      <w:r w:rsidR="00C33EAD"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 </w:t>
      </w:r>
      <w:r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del año </w:t>
      </w:r>
      <w:r w:rsidR="00EC6F64"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20</w:t>
      </w:r>
      <w:r w:rsidR="000B246F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20</w:t>
      </w:r>
      <w:r w:rsidR="00D64954"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 </w:t>
      </w:r>
      <w:r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a las </w:t>
      </w:r>
      <w:r w:rsidR="00B8788B"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10</w:t>
      </w:r>
      <w:r w:rsidR="00DB2580"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:00</w:t>
      </w:r>
      <w:r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 xml:space="preserve"> </w:t>
      </w:r>
      <w:r w:rsidR="00B8788B"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a</w:t>
      </w:r>
      <w:r w:rsidRPr="005877C7">
        <w:rPr>
          <w:rFonts w:asciiTheme="majorHAnsi" w:hAnsiTheme="majorHAnsi" w:cstheme="majorHAnsi"/>
          <w:b/>
          <w:sz w:val="20"/>
          <w:szCs w:val="22"/>
          <w:u w:val="single"/>
          <w:lang w:val="es-MX" w:bidi="en-US"/>
        </w:rPr>
        <w:t>.m.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 Las ofertas se abrirán</w:t>
      </w:r>
      <w:r w:rsidR="007803B0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inmediatamente después de recibidas, 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>en presencia de los representantes de los licitantes que deseen asistir</w:t>
      </w:r>
      <w:r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 xml:space="preserve"> y deberán</w:t>
      </w:r>
      <w:r w:rsidRPr="005877C7">
        <w:rPr>
          <w:rFonts w:asciiTheme="majorHAnsi" w:hAnsiTheme="majorHAnsi" w:cstheme="majorHAnsi"/>
          <w:iCs/>
          <w:sz w:val="20"/>
          <w:szCs w:val="22"/>
          <w:lang w:val="es-MX" w:bidi="en-US"/>
        </w:rPr>
        <w:t xml:space="preserve"> estar acompañadas de una </w:t>
      </w:r>
      <w:r w:rsidRPr="005877C7">
        <w:rPr>
          <w:rFonts w:asciiTheme="majorHAnsi" w:hAnsiTheme="majorHAnsi" w:cstheme="majorHAnsi"/>
          <w:b/>
          <w:i/>
          <w:iCs/>
          <w:sz w:val="20"/>
          <w:szCs w:val="22"/>
          <w:lang w:val="es-MX" w:bidi="en-US"/>
        </w:rPr>
        <w:t>“Declaración de Mantenimiento de Oferta”</w:t>
      </w:r>
      <w:r w:rsidRPr="005877C7">
        <w:rPr>
          <w:rFonts w:asciiTheme="majorHAnsi" w:hAnsiTheme="majorHAnsi" w:cstheme="majorHAnsi"/>
          <w:sz w:val="20"/>
          <w:szCs w:val="22"/>
          <w:lang w:val="es-ES" w:bidi="en-US"/>
        </w:rPr>
        <w:t xml:space="preserve">, según formulario </w:t>
      </w:r>
      <w:r w:rsidR="00C431D3" w:rsidRPr="005877C7">
        <w:rPr>
          <w:rFonts w:asciiTheme="majorHAnsi" w:hAnsiTheme="majorHAnsi" w:cstheme="majorHAnsi"/>
          <w:sz w:val="20"/>
          <w:szCs w:val="22"/>
          <w:lang w:val="es-ES" w:bidi="en-US"/>
        </w:rPr>
        <w:t>de</w:t>
      </w:r>
      <w:r w:rsidRPr="005877C7">
        <w:rPr>
          <w:rFonts w:asciiTheme="majorHAnsi" w:hAnsiTheme="majorHAnsi" w:cstheme="majorHAnsi"/>
          <w:sz w:val="20"/>
          <w:szCs w:val="22"/>
          <w:lang w:val="es-ES" w:bidi="en-US"/>
        </w:rPr>
        <w:t xml:space="preserve"> la Sección IV. Formularios de la Oferta</w:t>
      </w:r>
      <w:r w:rsidR="00C431D3" w:rsidRPr="005877C7">
        <w:rPr>
          <w:rFonts w:asciiTheme="majorHAnsi" w:hAnsiTheme="majorHAnsi" w:cstheme="majorHAnsi"/>
          <w:sz w:val="20"/>
          <w:szCs w:val="22"/>
          <w:lang w:val="es-ES" w:bidi="en-US"/>
        </w:rPr>
        <w:t xml:space="preserve"> del documento</w:t>
      </w:r>
      <w:r w:rsidR="009A7BF2" w:rsidRPr="005877C7">
        <w:rPr>
          <w:rFonts w:asciiTheme="majorHAnsi" w:hAnsiTheme="majorHAnsi" w:cstheme="majorHAnsi"/>
          <w:sz w:val="20"/>
          <w:szCs w:val="22"/>
          <w:lang w:val="es-ES" w:bidi="en-US"/>
        </w:rPr>
        <w:t xml:space="preserve"> base de licitación</w:t>
      </w:r>
      <w:r w:rsidRPr="005877C7">
        <w:rPr>
          <w:rFonts w:asciiTheme="majorHAnsi" w:hAnsiTheme="majorHAnsi" w:cstheme="majorHAnsi"/>
          <w:i/>
          <w:sz w:val="20"/>
          <w:szCs w:val="22"/>
          <w:lang w:val="es-MX" w:bidi="en-US"/>
        </w:rPr>
        <w:t>.</w:t>
      </w:r>
      <w:r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Las ofertas que se reciban fuera de plazo serán rechazadas y devueltas sin abrir.</w:t>
      </w:r>
      <w:r w:rsidR="00271BAA" w:rsidRPr="005877C7">
        <w:rPr>
          <w:rFonts w:asciiTheme="majorHAnsi" w:hAnsiTheme="majorHAnsi" w:cstheme="majorHAnsi"/>
          <w:sz w:val="20"/>
          <w:szCs w:val="22"/>
          <w:lang w:val="es-MX" w:bidi="en-US"/>
        </w:rPr>
        <w:t xml:space="preserve"> </w:t>
      </w:r>
      <w:r w:rsidR="00271BAA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Ofertas electrónicas “no serán” permitidas</w:t>
      </w:r>
      <w:r w:rsidR="00C35984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 </w:t>
      </w:r>
      <w:r w:rsidR="00C75FCE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así</w:t>
      </w:r>
      <w:r w:rsidR="00C35984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 mismo</w:t>
      </w:r>
      <w:r w:rsidR="006141F1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,</w:t>
      </w:r>
      <w:r w:rsidR="00C35984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 </w:t>
      </w:r>
      <w:r w:rsidR="006141F1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 xml:space="preserve">no </w:t>
      </w:r>
      <w:r w:rsidR="00C35984" w:rsidRPr="005877C7">
        <w:rPr>
          <w:rFonts w:asciiTheme="majorHAnsi" w:hAnsiTheme="majorHAnsi" w:cstheme="majorHAnsi"/>
          <w:b/>
          <w:sz w:val="20"/>
          <w:szCs w:val="22"/>
          <w:lang w:val="es-MX" w:bidi="en-US"/>
        </w:rPr>
        <w:t>serán permitidas ofertas alternativas.</w:t>
      </w:r>
    </w:p>
    <w:p w14:paraId="70B55B30" w14:textId="77777777" w:rsidR="0053302D" w:rsidRPr="005877C7" w:rsidRDefault="0053302D" w:rsidP="0053302D">
      <w:pPr>
        <w:suppressAutoHyphens/>
        <w:ind w:left="360"/>
        <w:jc w:val="both"/>
        <w:rPr>
          <w:rFonts w:asciiTheme="majorHAnsi" w:hAnsiTheme="majorHAnsi" w:cstheme="majorHAnsi"/>
          <w:sz w:val="20"/>
          <w:szCs w:val="22"/>
          <w:lang w:val="es-MX" w:bidi="en-US"/>
        </w:rPr>
      </w:pPr>
    </w:p>
    <w:p w14:paraId="2841542D" w14:textId="7882FDD5" w:rsidR="00EC6F64" w:rsidRPr="005877C7" w:rsidRDefault="00EC6F64" w:rsidP="00D64954">
      <w:pPr>
        <w:ind w:left="142"/>
        <w:jc w:val="center"/>
        <w:rPr>
          <w:rFonts w:asciiTheme="minorHAnsi" w:eastAsia="Calibri" w:hAnsiTheme="minorHAnsi" w:cstheme="minorHAnsi"/>
          <w:b/>
          <w:bCs/>
          <w:sz w:val="20"/>
          <w:szCs w:val="22"/>
          <w:lang w:val="es-ES"/>
        </w:rPr>
      </w:pPr>
      <w:r w:rsidRPr="005877C7">
        <w:rPr>
          <w:rFonts w:asciiTheme="minorHAnsi" w:eastAsia="Calibri" w:hAnsiTheme="minorHAnsi" w:cstheme="minorHAnsi"/>
          <w:b/>
          <w:bCs/>
          <w:sz w:val="20"/>
          <w:szCs w:val="22"/>
          <w:lang w:val="es-HN"/>
        </w:rPr>
        <w:t>MAITE MATHEU MEDINA</w:t>
      </w:r>
      <w:r w:rsidRPr="005877C7">
        <w:rPr>
          <w:rFonts w:asciiTheme="minorHAnsi" w:eastAsia="Calibri" w:hAnsiTheme="minorHAnsi" w:cstheme="minorHAnsi"/>
          <w:b/>
          <w:bCs/>
          <w:sz w:val="20"/>
          <w:szCs w:val="22"/>
          <w:lang w:val="es-ES"/>
        </w:rPr>
        <w:t xml:space="preserve"> </w:t>
      </w:r>
    </w:p>
    <w:p w14:paraId="2ABCAFF6" w14:textId="77777777" w:rsidR="008D250D" w:rsidRDefault="00EC6F64" w:rsidP="00D64954">
      <w:pPr>
        <w:ind w:left="142"/>
        <w:jc w:val="center"/>
        <w:rPr>
          <w:rFonts w:asciiTheme="minorHAnsi" w:eastAsia="Calibri" w:hAnsiTheme="minorHAnsi" w:cstheme="minorHAnsi"/>
          <w:b/>
          <w:bCs/>
          <w:sz w:val="20"/>
          <w:szCs w:val="22"/>
          <w:lang w:val="es-ES"/>
        </w:rPr>
      </w:pPr>
      <w:r w:rsidRPr="005877C7">
        <w:rPr>
          <w:rFonts w:asciiTheme="minorHAnsi" w:eastAsia="Calibri" w:hAnsiTheme="minorHAnsi" w:cstheme="minorHAnsi"/>
          <w:b/>
          <w:bCs/>
          <w:sz w:val="20"/>
          <w:szCs w:val="22"/>
          <w:lang w:val="es-ES"/>
        </w:rPr>
        <w:t xml:space="preserve">Directora de País </w:t>
      </w:r>
    </w:p>
    <w:p w14:paraId="42DA1670" w14:textId="569845DA" w:rsidR="00E12C4C" w:rsidRPr="005877C7" w:rsidRDefault="00EC6F64" w:rsidP="00D64954">
      <w:pPr>
        <w:ind w:left="142"/>
        <w:jc w:val="center"/>
        <w:rPr>
          <w:rFonts w:asciiTheme="minorHAnsi" w:eastAsia="Calibri" w:hAnsiTheme="minorHAnsi" w:cstheme="minorHAnsi"/>
          <w:b/>
          <w:bCs/>
          <w:sz w:val="20"/>
          <w:szCs w:val="22"/>
          <w:lang w:val="es-ES"/>
        </w:rPr>
      </w:pPr>
      <w:r w:rsidRPr="005877C7">
        <w:rPr>
          <w:rFonts w:asciiTheme="minorHAnsi" w:eastAsia="Calibri" w:hAnsiTheme="minorHAnsi" w:cstheme="minorHAnsi"/>
          <w:b/>
          <w:bCs/>
          <w:sz w:val="20"/>
          <w:szCs w:val="22"/>
          <w:lang w:val="es-ES"/>
        </w:rPr>
        <w:t>CARE Internacional</w:t>
      </w:r>
      <w:r w:rsidR="00587085" w:rsidRPr="005877C7">
        <w:rPr>
          <w:rFonts w:asciiTheme="minorHAnsi" w:eastAsia="Calibri" w:hAnsiTheme="minorHAnsi" w:cstheme="minorHAnsi"/>
          <w:b/>
          <w:bCs/>
          <w:sz w:val="20"/>
          <w:szCs w:val="22"/>
          <w:lang w:val="es-ES"/>
        </w:rPr>
        <w:t xml:space="preserve"> en Honduras</w:t>
      </w:r>
    </w:p>
    <w:p w14:paraId="35A96568" w14:textId="39C1678F" w:rsidR="007803B0" w:rsidRPr="005877C7" w:rsidRDefault="00716AC3" w:rsidP="00D64954">
      <w:pPr>
        <w:ind w:left="142"/>
        <w:jc w:val="center"/>
        <w:rPr>
          <w:rFonts w:asciiTheme="minorHAnsi" w:hAnsiTheme="minorHAnsi" w:cstheme="minorHAnsi"/>
          <w:bCs/>
          <w:sz w:val="20"/>
          <w:szCs w:val="22"/>
        </w:rPr>
      </w:pPr>
      <w:r w:rsidRPr="005877C7">
        <w:rPr>
          <w:rFonts w:asciiTheme="minorHAnsi" w:eastAsia="Calibri" w:hAnsiTheme="minorHAnsi" w:cstheme="minorHAnsi"/>
          <w:bCs/>
          <w:sz w:val="20"/>
          <w:szCs w:val="22"/>
          <w:lang w:val="es-ES"/>
        </w:rPr>
        <w:t xml:space="preserve">TEL: 9465-0358, </w:t>
      </w:r>
      <w:r w:rsidR="003F43D9" w:rsidRPr="005877C7">
        <w:rPr>
          <w:rFonts w:asciiTheme="minorHAnsi" w:eastAsia="Calibri" w:hAnsiTheme="minorHAnsi" w:cstheme="minorHAnsi"/>
          <w:bCs/>
          <w:sz w:val="20"/>
          <w:szCs w:val="22"/>
          <w:lang w:val="es-ES"/>
        </w:rPr>
        <w:t>Mall El Dorado, 6to piso, Tegucigalpa; M.D.C.</w:t>
      </w:r>
    </w:p>
    <w:sectPr w:rsidR="007803B0" w:rsidRPr="005877C7" w:rsidSect="00B51CF0">
      <w:pgSz w:w="12240" w:h="15840" w:code="1"/>
      <w:pgMar w:top="845" w:right="1134" w:bottom="845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A31C3" w16cid:durableId="1DAC53A3"/>
  <w16cid:commentId w16cid:paraId="5A170A88" w16cid:durableId="1DAC5930"/>
  <w16cid:commentId w16cid:paraId="7CBD9FED" w16cid:durableId="1DAC5BEF"/>
  <w16cid:commentId w16cid:paraId="6F665BC3" w16cid:durableId="1DAC5C36"/>
  <w16cid:commentId w16cid:paraId="47570F8C" w16cid:durableId="1DAC59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2AEB" w14:textId="77777777" w:rsidR="00DB3A2C" w:rsidRDefault="00DB3A2C" w:rsidP="00E121EC">
      <w:r>
        <w:separator/>
      </w:r>
    </w:p>
  </w:endnote>
  <w:endnote w:type="continuationSeparator" w:id="0">
    <w:p w14:paraId="6AE23DDE" w14:textId="77777777" w:rsidR="00DB3A2C" w:rsidRDefault="00DB3A2C" w:rsidP="00E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B50E" w14:textId="77777777" w:rsidR="00DB3A2C" w:rsidRDefault="00DB3A2C" w:rsidP="00E121EC">
      <w:r>
        <w:separator/>
      </w:r>
    </w:p>
  </w:footnote>
  <w:footnote w:type="continuationSeparator" w:id="0">
    <w:p w14:paraId="7CD1875B" w14:textId="77777777" w:rsidR="00DB3A2C" w:rsidRDefault="00DB3A2C" w:rsidP="00E1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31E4456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/>
        <w:b w:val="0"/>
        <w:i w:val="0"/>
        <w:lang w:val="es-ES"/>
      </w:rPr>
    </w:lvl>
  </w:abstractNum>
  <w:abstractNum w:abstractNumId="1" w15:restartNumberingAfterBreak="0">
    <w:nsid w:val="36621BB9"/>
    <w:multiLevelType w:val="hybridMultilevel"/>
    <w:tmpl w:val="ABFA2D2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67F0B"/>
    <w:multiLevelType w:val="multilevel"/>
    <w:tmpl w:val="EA5A2D5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C"/>
    <w:rsid w:val="000265BD"/>
    <w:rsid w:val="00067872"/>
    <w:rsid w:val="00086817"/>
    <w:rsid w:val="000B246F"/>
    <w:rsid w:val="000C2E95"/>
    <w:rsid w:val="000E1A54"/>
    <w:rsid w:val="000E3631"/>
    <w:rsid w:val="001174CC"/>
    <w:rsid w:val="00157DA4"/>
    <w:rsid w:val="00172020"/>
    <w:rsid w:val="001A032C"/>
    <w:rsid w:val="001D7BA1"/>
    <w:rsid w:val="001F7A7D"/>
    <w:rsid w:val="00227CFA"/>
    <w:rsid w:val="00240EFE"/>
    <w:rsid w:val="00271BAA"/>
    <w:rsid w:val="002B1B67"/>
    <w:rsid w:val="002C11E1"/>
    <w:rsid w:val="003020D6"/>
    <w:rsid w:val="00305828"/>
    <w:rsid w:val="00331F10"/>
    <w:rsid w:val="003643D4"/>
    <w:rsid w:val="0038798B"/>
    <w:rsid w:val="003C6330"/>
    <w:rsid w:val="003D7D7B"/>
    <w:rsid w:val="003E0A57"/>
    <w:rsid w:val="003F43D9"/>
    <w:rsid w:val="00420FC8"/>
    <w:rsid w:val="004555CD"/>
    <w:rsid w:val="004645EB"/>
    <w:rsid w:val="004B5F44"/>
    <w:rsid w:val="004C50E3"/>
    <w:rsid w:val="004D41FF"/>
    <w:rsid w:val="004F1AC8"/>
    <w:rsid w:val="005125B6"/>
    <w:rsid w:val="005237B2"/>
    <w:rsid w:val="0053302D"/>
    <w:rsid w:val="00550A41"/>
    <w:rsid w:val="00587085"/>
    <w:rsid w:val="005877C7"/>
    <w:rsid w:val="005C438D"/>
    <w:rsid w:val="006141F1"/>
    <w:rsid w:val="0062237C"/>
    <w:rsid w:val="00634221"/>
    <w:rsid w:val="00650D00"/>
    <w:rsid w:val="00653CB2"/>
    <w:rsid w:val="006619E1"/>
    <w:rsid w:val="00716AC3"/>
    <w:rsid w:val="00733226"/>
    <w:rsid w:val="00750ADD"/>
    <w:rsid w:val="007803B0"/>
    <w:rsid w:val="007B1DD2"/>
    <w:rsid w:val="007B60BA"/>
    <w:rsid w:val="007C5826"/>
    <w:rsid w:val="007D56EA"/>
    <w:rsid w:val="007D77CC"/>
    <w:rsid w:val="00813996"/>
    <w:rsid w:val="00821DED"/>
    <w:rsid w:val="008676FB"/>
    <w:rsid w:val="008D250D"/>
    <w:rsid w:val="008E71C0"/>
    <w:rsid w:val="008F2C81"/>
    <w:rsid w:val="00903387"/>
    <w:rsid w:val="00922F88"/>
    <w:rsid w:val="00996E45"/>
    <w:rsid w:val="00997E00"/>
    <w:rsid w:val="009A7BF2"/>
    <w:rsid w:val="009D3E93"/>
    <w:rsid w:val="009E1DA8"/>
    <w:rsid w:val="009E25FB"/>
    <w:rsid w:val="009F487B"/>
    <w:rsid w:val="00A05BAE"/>
    <w:rsid w:val="00A2271C"/>
    <w:rsid w:val="00A44E0D"/>
    <w:rsid w:val="00A66E6F"/>
    <w:rsid w:val="00A71360"/>
    <w:rsid w:val="00AB1108"/>
    <w:rsid w:val="00AF5728"/>
    <w:rsid w:val="00B01D48"/>
    <w:rsid w:val="00B26C95"/>
    <w:rsid w:val="00B51CF0"/>
    <w:rsid w:val="00B8788B"/>
    <w:rsid w:val="00BA048B"/>
    <w:rsid w:val="00BA0BC4"/>
    <w:rsid w:val="00BE46B4"/>
    <w:rsid w:val="00C0493B"/>
    <w:rsid w:val="00C13817"/>
    <w:rsid w:val="00C2612C"/>
    <w:rsid w:val="00C33EAD"/>
    <w:rsid w:val="00C35984"/>
    <w:rsid w:val="00C41011"/>
    <w:rsid w:val="00C42705"/>
    <w:rsid w:val="00C431D3"/>
    <w:rsid w:val="00C75FCE"/>
    <w:rsid w:val="00C91894"/>
    <w:rsid w:val="00CA3464"/>
    <w:rsid w:val="00CB345B"/>
    <w:rsid w:val="00CC228D"/>
    <w:rsid w:val="00CD5517"/>
    <w:rsid w:val="00CE32A1"/>
    <w:rsid w:val="00CE4133"/>
    <w:rsid w:val="00CF1A61"/>
    <w:rsid w:val="00D44423"/>
    <w:rsid w:val="00D64954"/>
    <w:rsid w:val="00D73048"/>
    <w:rsid w:val="00D75BC7"/>
    <w:rsid w:val="00DB2580"/>
    <w:rsid w:val="00DB3A2C"/>
    <w:rsid w:val="00DB4102"/>
    <w:rsid w:val="00DB6246"/>
    <w:rsid w:val="00DE7FB3"/>
    <w:rsid w:val="00E07B59"/>
    <w:rsid w:val="00E1010E"/>
    <w:rsid w:val="00E121EC"/>
    <w:rsid w:val="00E12C4C"/>
    <w:rsid w:val="00E166A5"/>
    <w:rsid w:val="00E24107"/>
    <w:rsid w:val="00E33EFC"/>
    <w:rsid w:val="00E710D5"/>
    <w:rsid w:val="00EC6F64"/>
    <w:rsid w:val="00F311F4"/>
    <w:rsid w:val="00F51789"/>
    <w:rsid w:val="00F83E9C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95D5"/>
  <w15:chartTrackingRefBased/>
  <w15:docId w15:val="{4E8D4A20-21D4-4555-9791-84139DA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C4C"/>
    <w:rPr>
      <w:color w:val="0000FF"/>
      <w:u w:val="single"/>
    </w:rPr>
  </w:style>
  <w:style w:type="paragraph" w:customStyle="1" w:styleId="SectionVIHeader">
    <w:name w:val="Section VI. Header"/>
    <w:basedOn w:val="Normal"/>
    <w:rsid w:val="00E12C4C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B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eastAsia="Times New Roman" w:hAnsi="Segoe UI" w:cs="Segoe UI"/>
      <w:sz w:val="18"/>
      <w:szCs w:val="18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1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1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.org.h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ena.castro@c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318C-317F-4BB5-BCEA-1E8B2A3F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Roxana Canales</cp:lastModifiedBy>
  <cp:revision>4</cp:revision>
  <cp:lastPrinted>2019-03-18T21:04:00Z</cp:lastPrinted>
  <dcterms:created xsi:type="dcterms:W3CDTF">2019-12-20T00:01:00Z</dcterms:created>
  <dcterms:modified xsi:type="dcterms:W3CDTF">2019-12-27T14:39:00Z</dcterms:modified>
</cp:coreProperties>
</file>